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B7" w:rsidRPr="00D91677" w:rsidRDefault="00092BB7" w:rsidP="002329A0">
      <w:pPr>
        <w:spacing w:after="0" w:line="240" w:lineRule="auto"/>
        <w:rPr>
          <w:rFonts w:cstheme="minorHAnsi"/>
          <w:noProof/>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rsidR="00092BB7" w:rsidRPr="00D91677" w:rsidRDefault="00092BB7" w:rsidP="002329A0">
      <w:pPr>
        <w:spacing w:after="0" w:line="240" w:lineRule="auto"/>
        <w:jc w:val="right"/>
        <w:rPr>
          <w:rFonts w:cstheme="minorHAnsi"/>
          <w:i/>
          <w:sz w:val="20"/>
          <w:szCs w:val="20"/>
          <w:lang w:val="en-GB"/>
        </w:rPr>
      </w:pPr>
    </w:p>
    <w:p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2F7841" w:rsidRPr="00D91677">
        <w:rPr>
          <w:rFonts w:cstheme="minorHAnsi"/>
          <w:sz w:val="20"/>
          <w:szCs w:val="20"/>
          <w:lang w:val="en-GB"/>
        </w:rPr>
        <w:t xml:space="preserve"> 2</w:t>
      </w:r>
      <w:r w:rsidR="00E138CF">
        <w:rPr>
          <w:rFonts w:cstheme="minorHAnsi"/>
          <w:sz w:val="20"/>
          <w:szCs w:val="20"/>
          <w:lang w:val="en-GB"/>
        </w:rPr>
        <w:t>5</w:t>
      </w:r>
      <w:r w:rsidR="00635B95" w:rsidRPr="00D91677">
        <w:rPr>
          <w:rFonts w:cstheme="minorHAnsi"/>
          <w:sz w:val="20"/>
          <w:szCs w:val="20"/>
          <w:lang w:val="en-GB"/>
        </w:rPr>
        <w:t xml:space="preserve"> February </w:t>
      </w:r>
      <w:r w:rsidR="004D580D" w:rsidRPr="00D91677">
        <w:rPr>
          <w:rFonts w:cstheme="minorHAnsi"/>
          <w:sz w:val="20"/>
          <w:szCs w:val="20"/>
          <w:lang w:val="en-GB"/>
        </w:rPr>
        <w:t>202</w:t>
      </w:r>
      <w:r w:rsidR="002F7841" w:rsidRPr="00D91677">
        <w:rPr>
          <w:rFonts w:cstheme="minorHAnsi"/>
          <w:sz w:val="20"/>
          <w:szCs w:val="20"/>
          <w:lang w:val="en-GB"/>
        </w:rPr>
        <w:t>2</w:t>
      </w:r>
    </w:p>
    <w:p w:rsidR="00092BB7" w:rsidRPr="00D91677" w:rsidRDefault="00092BB7" w:rsidP="002329A0">
      <w:pPr>
        <w:autoSpaceDE w:val="0"/>
        <w:autoSpaceDN w:val="0"/>
        <w:adjustRightInd w:val="0"/>
        <w:spacing w:after="0" w:line="240" w:lineRule="auto"/>
        <w:jc w:val="both"/>
        <w:rPr>
          <w:rFonts w:cstheme="minorHAnsi"/>
          <w:sz w:val="20"/>
          <w:szCs w:val="20"/>
          <w:lang w:val="en-GB"/>
        </w:rPr>
      </w:pPr>
    </w:p>
    <w:p w:rsidR="00092BB7" w:rsidRPr="00D9167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 xml:space="preserve">No. </w:t>
      </w:r>
      <w:r w:rsidR="00267341" w:rsidRPr="00D91677">
        <w:rPr>
          <w:rFonts w:cstheme="minorHAnsi"/>
          <w:b/>
          <w:bCs/>
          <w:caps/>
          <w:sz w:val="20"/>
          <w:szCs w:val="20"/>
          <w:lang w:val="en-GB"/>
        </w:rPr>
        <w:t>010</w:t>
      </w:r>
      <w:r w:rsidR="00092BB7" w:rsidRPr="00D91677">
        <w:rPr>
          <w:rFonts w:cstheme="minorHAnsi"/>
          <w:b/>
          <w:bCs/>
          <w:caps/>
          <w:sz w:val="20"/>
          <w:szCs w:val="20"/>
          <w:lang w:val="en-GB"/>
        </w:rPr>
        <w:t>/</w:t>
      </w:r>
      <w:r w:rsidR="004D580D" w:rsidRPr="00D91677">
        <w:rPr>
          <w:rFonts w:cstheme="minorHAnsi"/>
          <w:b/>
          <w:bCs/>
          <w:caps/>
          <w:sz w:val="20"/>
          <w:szCs w:val="20"/>
          <w:lang w:val="en-GB"/>
        </w:rPr>
        <w:t>202</w:t>
      </w:r>
      <w:r w:rsidR="002F7841" w:rsidRPr="00D91677">
        <w:rPr>
          <w:rFonts w:cstheme="minorHAnsi"/>
          <w:b/>
          <w:bCs/>
          <w:caps/>
          <w:sz w:val="20"/>
          <w:szCs w:val="20"/>
          <w:lang w:val="en-GB"/>
        </w:rPr>
        <w:t>2</w:t>
      </w:r>
    </w:p>
    <w:p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for </w:t>
      </w:r>
      <w:r w:rsidR="004D580D" w:rsidRPr="00D91677">
        <w:rPr>
          <w:rFonts w:cstheme="minorHAnsi"/>
          <w:sz w:val="20"/>
          <w:szCs w:val="20"/>
          <w:lang w:val="en-GB"/>
        </w:rPr>
        <w:t>supply</w:t>
      </w:r>
      <w:r w:rsidR="00635B95" w:rsidRPr="00D91677">
        <w:rPr>
          <w:rFonts w:cstheme="minorHAnsi"/>
          <w:sz w:val="20"/>
          <w:szCs w:val="20"/>
          <w:lang w:val="en-GB"/>
        </w:rPr>
        <w:t xml:space="preserve"> of</w:t>
      </w:r>
    </w:p>
    <w:p w:rsidR="002F7841" w:rsidRPr="00D91677" w:rsidRDefault="002F7841" w:rsidP="002329A0">
      <w:pPr>
        <w:autoSpaceDE w:val="0"/>
        <w:autoSpaceDN w:val="0"/>
        <w:adjustRightInd w:val="0"/>
        <w:spacing w:after="0" w:line="240" w:lineRule="auto"/>
        <w:jc w:val="center"/>
        <w:rPr>
          <w:rFonts w:cstheme="minorHAnsi"/>
          <w:b/>
          <w:sz w:val="20"/>
          <w:szCs w:val="20"/>
          <w:lang w:val="en-GB"/>
        </w:rPr>
      </w:pPr>
      <w:r w:rsidRPr="00D91677">
        <w:rPr>
          <w:rFonts w:cstheme="minorHAnsi"/>
          <w:b/>
          <w:sz w:val="20"/>
          <w:szCs w:val="20"/>
          <w:lang w:val="en-GB"/>
        </w:rPr>
        <w:t>Miniature fluorescence microscope</w:t>
      </w:r>
    </w:p>
    <w:p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to the Marceli Nencki Institute of Experimental Biology</w:t>
      </w:r>
    </w:p>
    <w:p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rsidR="00092BB7" w:rsidRPr="00D91677" w:rsidRDefault="00092BB7" w:rsidP="002329A0">
      <w:pPr>
        <w:autoSpaceDE w:val="0"/>
        <w:autoSpaceDN w:val="0"/>
        <w:adjustRightInd w:val="0"/>
        <w:spacing w:after="0" w:line="240" w:lineRule="auto"/>
        <w:jc w:val="center"/>
        <w:rPr>
          <w:rFonts w:cstheme="minorHAnsi"/>
          <w:sz w:val="20"/>
          <w:szCs w:val="20"/>
          <w:lang w:val="en-GB"/>
        </w:rPr>
      </w:pPr>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rsidR="00092BB7" w:rsidRPr="00D91677" w:rsidRDefault="00092BB7" w:rsidP="002329A0">
      <w:pPr>
        <w:autoSpaceDE w:val="0"/>
        <w:autoSpaceDN w:val="0"/>
        <w:adjustRightInd w:val="0"/>
        <w:spacing w:after="0" w:line="240" w:lineRule="auto"/>
        <w:rPr>
          <w:rFonts w:cstheme="minorHAnsi"/>
          <w:sz w:val="20"/>
          <w:szCs w:val="20"/>
          <w:lang w:val="en-GB"/>
        </w:rPr>
      </w:pPr>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2F7841" w:rsidRPr="00D91677">
        <w:rPr>
          <w:rFonts w:cstheme="minorHAnsi"/>
          <w:sz w:val="20"/>
          <w:szCs w:val="20"/>
          <w:lang w:val="en-GB"/>
        </w:rPr>
        <w:t>Anna Cały</w:t>
      </w:r>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r w:rsidR="002F7841" w:rsidRPr="00D91677">
        <w:rPr>
          <w:rFonts w:cstheme="minorHAnsi"/>
          <w:sz w:val="20"/>
          <w:szCs w:val="20"/>
          <w:lang w:val="en-GB"/>
        </w:rPr>
        <w:t>a</w:t>
      </w:r>
      <w:r w:rsidR="00700083" w:rsidRPr="00D91677">
        <w:rPr>
          <w:rFonts w:cstheme="minorHAnsi"/>
          <w:sz w:val="20"/>
          <w:szCs w:val="20"/>
          <w:lang w:val="en-GB"/>
        </w:rPr>
        <w:t>.</w:t>
      </w:r>
      <w:r w:rsidR="002F7841" w:rsidRPr="00D91677">
        <w:rPr>
          <w:rFonts w:cstheme="minorHAnsi"/>
          <w:sz w:val="20"/>
          <w:szCs w:val="20"/>
          <w:lang w:val="en-GB"/>
        </w:rPr>
        <w:t>caly</w:t>
      </w:r>
      <w:r w:rsidR="004D580D" w:rsidRPr="00D91677">
        <w:rPr>
          <w:rFonts w:cstheme="minorHAnsi"/>
          <w:sz w:val="20"/>
          <w:szCs w:val="20"/>
          <w:lang w:val="en-GB"/>
        </w:rPr>
        <w:t>@nencki.edu.pl</w:t>
      </w:r>
    </w:p>
    <w:p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 xml:space="preserve">no later than </w:t>
      </w:r>
      <w:r w:rsidR="00700083" w:rsidRPr="00D91677">
        <w:rPr>
          <w:rFonts w:cstheme="minorHAnsi"/>
          <w:b/>
          <w:bCs/>
          <w:sz w:val="20"/>
          <w:szCs w:val="20"/>
          <w:lang w:val="en-GB"/>
        </w:rPr>
        <w:t>1</w:t>
      </w:r>
      <w:r w:rsidR="00BC2BA3" w:rsidRPr="00D91677">
        <w:rPr>
          <w:rFonts w:cstheme="minorHAnsi"/>
          <w:b/>
          <w:bCs/>
          <w:sz w:val="20"/>
          <w:szCs w:val="20"/>
          <w:lang w:val="en-GB"/>
        </w:rPr>
        <w:t>4</w:t>
      </w:r>
      <w:r w:rsidR="00635B95" w:rsidRPr="00D91677">
        <w:rPr>
          <w:rFonts w:cstheme="minorHAnsi"/>
          <w:b/>
          <w:bCs/>
          <w:sz w:val="20"/>
          <w:szCs w:val="20"/>
          <w:lang w:val="en-GB"/>
        </w:rPr>
        <w:t xml:space="preserve"> March </w:t>
      </w:r>
      <w:r w:rsidR="004D580D" w:rsidRPr="00D91677">
        <w:rPr>
          <w:rFonts w:cstheme="minorHAnsi"/>
          <w:b/>
          <w:bCs/>
          <w:sz w:val="20"/>
          <w:szCs w:val="20"/>
          <w:lang w:val="en-GB"/>
        </w:rPr>
        <w:t>202</w:t>
      </w:r>
      <w:r w:rsidR="002F7841" w:rsidRPr="00D91677">
        <w:rPr>
          <w:rFonts w:cstheme="minorHAnsi"/>
          <w:b/>
          <w:bCs/>
          <w:sz w:val="20"/>
          <w:szCs w:val="20"/>
          <w:lang w:val="en-GB"/>
        </w:rPr>
        <w:t>2</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rsidR="004D580D" w:rsidRPr="00D91677" w:rsidRDefault="004D580D" w:rsidP="002329A0">
      <w:pPr>
        <w:autoSpaceDE w:val="0"/>
        <w:autoSpaceDN w:val="0"/>
        <w:adjustRightInd w:val="0"/>
        <w:spacing w:after="0" w:line="240" w:lineRule="auto"/>
        <w:rPr>
          <w:rFonts w:cstheme="minorHAnsi"/>
          <w:sz w:val="20"/>
          <w:szCs w:val="20"/>
          <w:lang w:val="en-GB"/>
        </w:rPr>
      </w:pPr>
    </w:p>
    <w:p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rsidR="00EC5496" w:rsidRPr="00D91677" w:rsidRDefault="00EC5496" w:rsidP="00F4300A">
      <w:pPr>
        <w:autoSpaceDE w:val="0"/>
        <w:autoSpaceDN w:val="0"/>
        <w:adjustRightInd w:val="0"/>
        <w:spacing w:after="0" w:line="240" w:lineRule="auto"/>
        <w:jc w:val="both"/>
        <w:rPr>
          <w:rFonts w:cstheme="minorHAnsi"/>
          <w:b/>
          <w:bCs/>
          <w:sz w:val="20"/>
          <w:szCs w:val="20"/>
          <w:lang w:val="en-GB"/>
        </w:rPr>
      </w:pPr>
    </w:p>
    <w:p w:rsidR="002F7841" w:rsidRPr="00D91677" w:rsidRDefault="00F4300A" w:rsidP="002F7841">
      <w:pPr>
        <w:autoSpaceDE w:val="0"/>
        <w:autoSpaceDN w:val="0"/>
        <w:adjustRightInd w:val="0"/>
        <w:spacing w:after="0" w:line="240" w:lineRule="auto"/>
        <w:rPr>
          <w:rFonts w:cstheme="minorHAnsi"/>
          <w:b/>
          <w:sz w:val="20"/>
          <w:szCs w:val="20"/>
          <w:lang w:val="en-GB"/>
        </w:rPr>
      </w:pPr>
      <w:r w:rsidRPr="00D91677">
        <w:rPr>
          <w:rFonts w:cstheme="minorHAnsi"/>
          <w:sz w:val="20"/>
          <w:szCs w:val="20"/>
          <w:lang w:val="en-GB"/>
        </w:rPr>
        <w:t>The subject matter of the contract is</w:t>
      </w:r>
      <w:r w:rsidR="00700083" w:rsidRPr="00D91677">
        <w:rPr>
          <w:rFonts w:cstheme="minorHAnsi"/>
          <w:sz w:val="20"/>
          <w:szCs w:val="20"/>
          <w:lang w:val="en-GB"/>
        </w:rPr>
        <w:t>:</w:t>
      </w:r>
      <w:r w:rsidR="002F7841" w:rsidRPr="00D91677">
        <w:rPr>
          <w:rFonts w:cstheme="minorHAnsi"/>
          <w:sz w:val="20"/>
          <w:szCs w:val="20"/>
          <w:lang w:val="en-GB"/>
        </w:rPr>
        <w:t xml:space="preserve"> </w:t>
      </w:r>
      <w:r w:rsidR="002F7841" w:rsidRPr="00D91677">
        <w:rPr>
          <w:rFonts w:cstheme="minorHAnsi"/>
          <w:b/>
          <w:sz w:val="20"/>
          <w:szCs w:val="20"/>
          <w:lang w:val="en-GB"/>
        </w:rPr>
        <w:t>Miniature fluorescence microscope according to the following parameters and specifications:</w:t>
      </w:r>
    </w:p>
    <w:p w:rsidR="002F7841" w:rsidRPr="00D91677" w:rsidRDefault="002F7841" w:rsidP="002F7841">
      <w:pPr>
        <w:autoSpaceDE w:val="0"/>
        <w:autoSpaceDN w:val="0"/>
        <w:adjustRightInd w:val="0"/>
        <w:spacing w:after="0" w:line="240" w:lineRule="auto"/>
        <w:rPr>
          <w:rFonts w:cstheme="minorHAnsi"/>
          <w:b/>
          <w:sz w:val="20"/>
          <w:szCs w:val="20"/>
          <w:lang w:val="en-GB"/>
        </w:rPr>
      </w:pPr>
    </w:p>
    <w:p w:rsidR="00700083" w:rsidRPr="00D91677" w:rsidRDefault="002F7841" w:rsidP="00EC5496">
      <w:pPr>
        <w:shd w:val="clear" w:color="auto" w:fill="FFFFFF"/>
        <w:spacing w:after="0" w:line="240" w:lineRule="auto"/>
        <w:jc w:val="both"/>
        <w:rPr>
          <w:rFonts w:cstheme="minorHAnsi"/>
          <w:sz w:val="20"/>
          <w:szCs w:val="20"/>
          <w:lang w:val="en-GB"/>
        </w:rPr>
      </w:pPr>
      <w:r w:rsidRPr="00D91677">
        <w:rPr>
          <w:rFonts w:eastAsia="Times New Roman" w:cs="Arial"/>
          <w:color w:val="000000"/>
          <w:sz w:val="20"/>
          <w:szCs w:val="20"/>
          <w:lang w:val="en-GB" w:eastAsia="pl-PL"/>
        </w:rPr>
        <w:t>Field of View - 650 µm x 650 µm</w:t>
      </w:r>
    </w:p>
    <w:p w:rsidR="002F7841" w:rsidRPr="00D91677" w:rsidRDefault="002F7841" w:rsidP="00EC5496">
      <w:pPr>
        <w:shd w:val="clear" w:color="auto" w:fill="FFFFFF"/>
        <w:spacing w:after="0" w:line="240" w:lineRule="auto"/>
        <w:jc w:val="both"/>
        <w:rPr>
          <w:rFonts w:eastAsia="Times New Roman" w:cs="Arial"/>
          <w:color w:val="000000"/>
          <w:sz w:val="20"/>
          <w:szCs w:val="20"/>
          <w:lang w:val="en-GB" w:eastAsia="pl-PL"/>
        </w:rPr>
      </w:pPr>
      <w:r w:rsidRPr="00D91677">
        <w:rPr>
          <w:rFonts w:eastAsia="Times New Roman" w:cs="Arial"/>
          <w:color w:val="000000"/>
          <w:sz w:val="20"/>
          <w:szCs w:val="20"/>
          <w:lang w:val="en-GB" w:eastAsia="pl-PL"/>
        </w:rPr>
        <w:t>Working distance adjustment range - 0</w:t>
      </w:r>
      <w:r w:rsidR="00D91677" w:rsidRPr="00D91677">
        <w:rPr>
          <w:rFonts w:eastAsia="Times New Roman" w:cstheme="minorHAnsi"/>
          <w:color w:val="365F91"/>
          <w:sz w:val="20"/>
          <w:szCs w:val="20"/>
          <w:lang w:val="en-GB" w:eastAsia="pl-PL"/>
        </w:rPr>
        <w:t>–</w:t>
      </w:r>
      <w:r w:rsidRPr="00D91677">
        <w:rPr>
          <w:rFonts w:eastAsia="Times New Roman" w:cs="Arial"/>
          <w:color w:val="000000"/>
          <w:sz w:val="20"/>
          <w:szCs w:val="20"/>
          <w:lang w:val="en-GB" w:eastAsia="pl-PL"/>
        </w:rPr>
        <w:t>300 µm</w:t>
      </w:r>
    </w:p>
    <w:p w:rsidR="002F7841" w:rsidRPr="00D91677" w:rsidRDefault="002F7841" w:rsidP="00EC5496">
      <w:pPr>
        <w:shd w:val="clear" w:color="auto" w:fill="FFFFFF"/>
        <w:spacing w:after="0" w:line="240" w:lineRule="auto"/>
        <w:jc w:val="both"/>
        <w:rPr>
          <w:rFonts w:eastAsia="Times New Roman" w:cs="Arial"/>
          <w:color w:val="000000"/>
          <w:sz w:val="20"/>
          <w:szCs w:val="20"/>
          <w:lang w:val="en-GB" w:eastAsia="pl-PL"/>
        </w:rPr>
      </w:pPr>
      <w:r w:rsidRPr="00D91677">
        <w:rPr>
          <w:rFonts w:eastAsia="Times New Roman" w:cs="Arial"/>
          <w:color w:val="000000"/>
          <w:sz w:val="20"/>
          <w:szCs w:val="20"/>
          <w:lang w:val="en-GB" w:eastAsia="pl-PL"/>
        </w:rPr>
        <w:t>Frame rate - up to 45 fps</w:t>
      </w:r>
    </w:p>
    <w:p w:rsidR="002F7841" w:rsidRPr="00D91677" w:rsidRDefault="002F7841" w:rsidP="00EC5496">
      <w:pPr>
        <w:shd w:val="clear" w:color="auto" w:fill="FFFFFF"/>
        <w:spacing w:after="0" w:line="240" w:lineRule="auto"/>
        <w:jc w:val="both"/>
        <w:rPr>
          <w:rFonts w:eastAsia="Times New Roman" w:cs="Arial"/>
          <w:color w:val="000000"/>
          <w:sz w:val="20"/>
          <w:szCs w:val="20"/>
          <w:u w:val="single"/>
          <w:lang w:val="en-GB" w:eastAsia="pl-PL"/>
        </w:rPr>
      </w:pPr>
      <w:r w:rsidRPr="00D91677">
        <w:rPr>
          <w:rFonts w:eastAsia="Times New Roman" w:cs="Arial"/>
          <w:bCs/>
          <w:color w:val="000000"/>
          <w:sz w:val="20"/>
          <w:szCs w:val="20"/>
          <w:u w:val="single"/>
          <w:lang w:val="en-GB" w:eastAsia="pl-PL"/>
        </w:rPr>
        <w:t>Fluorescence recording</w:t>
      </w:r>
    </w:p>
    <w:p w:rsidR="002F7841" w:rsidRPr="00D91677" w:rsidRDefault="002F7841" w:rsidP="00EC5496">
      <w:pPr>
        <w:shd w:val="clear" w:color="auto" w:fill="FFFFFF"/>
        <w:spacing w:after="0" w:line="240" w:lineRule="auto"/>
        <w:jc w:val="both"/>
        <w:rPr>
          <w:rFonts w:eastAsia="Times New Roman" w:cs="Arial"/>
          <w:color w:val="000000"/>
          <w:sz w:val="20"/>
          <w:szCs w:val="20"/>
          <w:lang w:val="en-GB" w:eastAsia="pl-PL"/>
        </w:rPr>
      </w:pPr>
      <w:r w:rsidRPr="00D91677">
        <w:rPr>
          <w:rFonts w:eastAsia="Times New Roman" w:cs="Arial"/>
          <w:color w:val="000000"/>
          <w:sz w:val="20"/>
          <w:szCs w:val="20"/>
          <w:lang w:val="en-GB" w:eastAsia="pl-PL"/>
        </w:rPr>
        <w:t>Excitation - 458 / 35 nm</w:t>
      </w:r>
    </w:p>
    <w:p w:rsidR="002F7841" w:rsidRPr="00D91677" w:rsidRDefault="002F7841" w:rsidP="00EC5496">
      <w:pPr>
        <w:shd w:val="clear" w:color="auto" w:fill="FFFFFF"/>
        <w:spacing w:after="0" w:line="240" w:lineRule="auto"/>
        <w:jc w:val="both"/>
        <w:rPr>
          <w:rFonts w:eastAsia="Times New Roman" w:cs="Arial"/>
          <w:color w:val="000000"/>
          <w:sz w:val="20"/>
          <w:szCs w:val="20"/>
          <w:lang w:val="en-GB" w:eastAsia="pl-PL"/>
        </w:rPr>
      </w:pPr>
      <w:r w:rsidRPr="00D91677">
        <w:rPr>
          <w:rFonts w:eastAsia="Times New Roman" w:cs="Arial"/>
          <w:color w:val="000000"/>
          <w:sz w:val="20"/>
          <w:szCs w:val="20"/>
          <w:lang w:val="en-GB" w:eastAsia="pl-PL"/>
        </w:rPr>
        <w:t>Emission - 525 / 40 nm</w:t>
      </w:r>
    </w:p>
    <w:p w:rsidR="002F7841" w:rsidRPr="00D91677" w:rsidRDefault="002F7841" w:rsidP="00EC5496">
      <w:pPr>
        <w:shd w:val="clear" w:color="auto" w:fill="FFFFFF"/>
        <w:spacing w:after="0" w:line="240" w:lineRule="auto"/>
        <w:jc w:val="both"/>
        <w:rPr>
          <w:rFonts w:eastAsia="Times New Roman" w:cs="Arial"/>
          <w:bCs/>
          <w:color w:val="000000"/>
          <w:sz w:val="20"/>
          <w:szCs w:val="20"/>
          <w:u w:val="single"/>
          <w:lang w:val="en-GB" w:eastAsia="pl-PL"/>
        </w:rPr>
      </w:pPr>
      <w:r w:rsidRPr="00D91677">
        <w:rPr>
          <w:rFonts w:eastAsia="Times New Roman" w:cs="Arial"/>
          <w:bCs/>
          <w:color w:val="000000"/>
          <w:sz w:val="20"/>
          <w:szCs w:val="20"/>
          <w:u w:val="single"/>
          <w:lang w:val="en-GB" w:eastAsia="pl-PL"/>
        </w:rPr>
        <w:t>Optogenetic stimulation</w:t>
      </w:r>
    </w:p>
    <w:p w:rsidR="002F7841" w:rsidRPr="00D91677" w:rsidRDefault="002F7841" w:rsidP="00EC5496">
      <w:pPr>
        <w:shd w:val="clear" w:color="auto" w:fill="FFFFFF"/>
        <w:spacing w:after="0" w:line="240" w:lineRule="auto"/>
        <w:jc w:val="both"/>
        <w:rPr>
          <w:rFonts w:eastAsia="Times New Roman" w:cs="Arial"/>
          <w:color w:val="000000"/>
          <w:sz w:val="20"/>
          <w:szCs w:val="20"/>
          <w:lang w:val="en-GB" w:eastAsia="pl-PL"/>
        </w:rPr>
      </w:pPr>
      <w:r w:rsidRPr="00D91677">
        <w:rPr>
          <w:rFonts w:eastAsia="Times New Roman" w:cs="Arial"/>
          <w:color w:val="000000"/>
          <w:sz w:val="20"/>
          <w:szCs w:val="20"/>
          <w:lang w:val="en-GB" w:eastAsia="pl-PL"/>
        </w:rPr>
        <w:t>Wavelength - 612 / 69 nm</w:t>
      </w:r>
    </w:p>
    <w:p w:rsidR="002F7841" w:rsidRPr="00D91677" w:rsidRDefault="002F7841" w:rsidP="00EC5496">
      <w:pPr>
        <w:shd w:val="clear" w:color="auto" w:fill="FFFFFF"/>
        <w:spacing w:after="0" w:line="240" w:lineRule="auto"/>
        <w:jc w:val="both"/>
        <w:rPr>
          <w:rFonts w:cstheme="minorHAnsi"/>
          <w:sz w:val="20"/>
          <w:szCs w:val="20"/>
          <w:u w:val="single"/>
          <w:lang w:val="en-GB"/>
        </w:rPr>
      </w:pPr>
      <w:r w:rsidRPr="00D91677">
        <w:rPr>
          <w:rFonts w:eastAsia="Times New Roman" w:cs="Arial"/>
          <w:color w:val="000000"/>
          <w:sz w:val="20"/>
          <w:szCs w:val="20"/>
          <w:lang w:val="en-GB" w:eastAsia="pl-PL"/>
        </w:rPr>
        <w:t>Activation intensity - 0 to 55 mW / mm2</w:t>
      </w:r>
    </w:p>
    <w:p w:rsidR="002F7841" w:rsidRPr="00D91677" w:rsidRDefault="002F7841" w:rsidP="00EC5496">
      <w:pPr>
        <w:shd w:val="clear" w:color="auto" w:fill="FFFFFF"/>
        <w:spacing w:after="0" w:line="240" w:lineRule="auto"/>
        <w:jc w:val="both"/>
        <w:rPr>
          <w:rFonts w:cstheme="minorHAnsi"/>
          <w:sz w:val="20"/>
          <w:szCs w:val="20"/>
          <w:lang w:val="en-GB"/>
        </w:rPr>
      </w:pPr>
    </w:p>
    <w:p w:rsidR="002F7841" w:rsidRPr="00D91677" w:rsidRDefault="002F7841" w:rsidP="002F7841">
      <w:pPr>
        <w:shd w:val="clear" w:color="auto" w:fill="FFFFFF"/>
        <w:spacing w:after="0" w:line="240" w:lineRule="auto"/>
        <w:rPr>
          <w:rFonts w:eastAsia="Times New Roman" w:cs="Arial"/>
          <w:color w:val="222222"/>
          <w:sz w:val="20"/>
          <w:szCs w:val="20"/>
          <w:lang w:val="en-GB" w:eastAsia="pl-PL"/>
        </w:rPr>
      </w:pPr>
      <w:r w:rsidRPr="00D91677">
        <w:rPr>
          <w:rFonts w:eastAsia="Times New Roman" w:cs="Arial"/>
          <w:color w:val="222222"/>
          <w:sz w:val="20"/>
          <w:szCs w:val="20"/>
          <w:u w:val="single"/>
          <w:lang w:val="en-GB" w:eastAsia="pl-PL"/>
        </w:rPr>
        <w:t>Functions:</w:t>
      </w:r>
      <w:r w:rsidRPr="00D91677">
        <w:rPr>
          <w:rFonts w:eastAsia="Times New Roman" w:cs="Arial"/>
          <w:color w:val="222222"/>
          <w:sz w:val="20"/>
          <w:szCs w:val="20"/>
          <w:lang w:val="en-GB" w:eastAsia="pl-PL"/>
        </w:rPr>
        <w:t xml:space="preserve"> Visualisation of larger brain areas (calcium imaging of neural activity) in freely moving animals in behavioural studies conducted in vivo along with simultaneous optogenetic manipulation of brain structures.</w:t>
      </w:r>
    </w:p>
    <w:p w:rsidR="002F7841" w:rsidRPr="00D91677" w:rsidRDefault="002F7841" w:rsidP="002F7841">
      <w:pPr>
        <w:shd w:val="clear" w:color="auto" w:fill="FFFFFF"/>
        <w:spacing w:after="0" w:line="240" w:lineRule="auto"/>
        <w:rPr>
          <w:rFonts w:eastAsia="Times New Roman" w:cs="Arial"/>
          <w:color w:val="222222"/>
          <w:sz w:val="24"/>
          <w:szCs w:val="24"/>
          <w:lang w:val="en-GB" w:eastAsia="pl-PL"/>
        </w:rPr>
      </w:pPr>
    </w:p>
    <w:p w:rsidR="002F7841" w:rsidRPr="00D91677" w:rsidRDefault="002F7841" w:rsidP="002F7841">
      <w:pPr>
        <w:shd w:val="clear" w:color="auto" w:fill="FFFFFF"/>
        <w:spacing w:after="0" w:line="240" w:lineRule="auto"/>
        <w:rPr>
          <w:rFonts w:eastAsia="Times New Roman" w:cs="Arial"/>
          <w:color w:val="222222"/>
          <w:sz w:val="20"/>
          <w:szCs w:val="20"/>
          <w:u w:val="single"/>
          <w:lang w:val="en-GB" w:eastAsia="pl-PL"/>
        </w:rPr>
      </w:pPr>
      <w:r w:rsidRPr="00D91677">
        <w:rPr>
          <w:rFonts w:eastAsia="Times New Roman" w:cs="Arial"/>
          <w:color w:val="222222"/>
          <w:sz w:val="20"/>
          <w:szCs w:val="20"/>
          <w:u w:val="single"/>
          <w:lang w:val="en-GB" w:eastAsia="pl-PL"/>
        </w:rPr>
        <w:t>The system consists of:</w:t>
      </w:r>
    </w:p>
    <w:p w:rsidR="002F7841" w:rsidRPr="00D91677" w:rsidRDefault="002F7841" w:rsidP="00507502">
      <w:pPr>
        <w:pStyle w:val="Akapitzlist"/>
        <w:numPr>
          <w:ilvl w:val="0"/>
          <w:numId w:val="27"/>
        </w:numPr>
        <w:shd w:val="clear" w:color="auto" w:fill="FFFFFF"/>
        <w:spacing w:after="0" w:line="240" w:lineRule="auto"/>
        <w:ind w:left="284" w:hanging="284"/>
        <w:rPr>
          <w:rFonts w:eastAsia="Times New Roman" w:cs="Arial"/>
          <w:color w:val="222222"/>
          <w:sz w:val="20"/>
          <w:szCs w:val="20"/>
          <w:lang w:val="en-GB" w:eastAsia="pl-PL"/>
        </w:rPr>
      </w:pPr>
      <w:r w:rsidRPr="00D91677">
        <w:rPr>
          <w:rFonts w:eastAsia="Times New Roman" w:cs="Arial"/>
          <w:color w:val="222222"/>
          <w:sz w:val="20"/>
          <w:szCs w:val="20"/>
          <w:lang w:val="en-GB" w:eastAsia="pl-PL"/>
        </w:rPr>
        <w:t>Twist-on efocus GCaMP/NpHR Fluorescence Microscope Body, the head mounted microscope</w:t>
      </w:r>
    </w:p>
    <w:p w:rsidR="002F7841" w:rsidRPr="00D91677" w:rsidRDefault="002F7841" w:rsidP="00507502">
      <w:pPr>
        <w:pStyle w:val="Akapitzlist"/>
        <w:numPr>
          <w:ilvl w:val="0"/>
          <w:numId w:val="27"/>
        </w:numPr>
        <w:shd w:val="clear" w:color="auto" w:fill="FFFFFF"/>
        <w:spacing w:after="0" w:line="240" w:lineRule="auto"/>
        <w:ind w:left="284" w:hanging="284"/>
        <w:rPr>
          <w:rFonts w:eastAsia="Times New Roman" w:cs="Arial"/>
          <w:color w:val="222222"/>
          <w:sz w:val="20"/>
          <w:szCs w:val="20"/>
          <w:lang w:val="en-GB" w:eastAsia="pl-PL"/>
        </w:rPr>
      </w:pPr>
      <w:r w:rsidRPr="00D91677">
        <w:rPr>
          <w:rFonts w:eastAsia="Times New Roman" w:cs="Arial"/>
          <w:color w:val="222222"/>
          <w:sz w:val="20"/>
          <w:szCs w:val="20"/>
          <w:lang w:val="en-GB" w:eastAsia="pl-PL"/>
        </w:rPr>
        <w:t>Fluorescence Microscope Driver, to control the microscope</w:t>
      </w:r>
    </w:p>
    <w:p w:rsidR="002F7841" w:rsidRPr="00D91677" w:rsidRDefault="002F7841" w:rsidP="00507502">
      <w:pPr>
        <w:pStyle w:val="Akapitzlist"/>
        <w:numPr>
          <w:ilvl w:val="0"/>
          <w:numId w:val="27"/>
        </w:numPr>
        <w:shd w:val="clear" w:color="auto" w:fill="FFFFFF"/>
        <w:spacing w:after="0" w:line="240" w:lineRule="auto"/>
        <w:ind w:left="284" w:hanging="284"/>
        <w:rPr>
          <w:rFonts w:eastAsia="Times New Roman" w:cs="Arial"/>
          <w:color w:val="222222"/>
          <w:sz w:val="20"/>
          <w:szCs w:val="20"/>
          <w:lang w:val="en-GB" w:eastAsia="pl-PL"/>
        </w:rPr>
      </w:pPr>
      <w:r w:rsidRPr="00D91677">
        <w:rPr>
          <w:rFonts w:eastAsia="Times New Roman" w:cs="Arial"/>
          <w:color w:val="222222"/>
          <w:sz w:val="20"/>
          <w:szCs w:val="20"/>
          <w:lang w:val="en-GB" w:eastAsia="pl-PL"/>
        </w:rPr>
        <w:t>Electrical cable for efocus Fluorescence Microscope Bodies, to connect the microscope to the driver</w:t>
      </w:r>
    </w:p>
    <w:p w:rsidR="002F7841" w:rsidRPr="00D91677" w:rsidRDefault="002F7841" w:rsidP="00507502">
      <w:pPr>
        <w:pStyle w:val="Akapitzlist"/>
        <w:numPr>
          <w:ilvl w:val="0"/>
          <w:numId w:val="27"/>
        </w:numPr>
        <w:shd w:val="clear" w:color="auto" w:fill="FFFFFF"/>
        <w:spacing w:after="0" w:line="240" w:lineRule="auto"/>
        <w:ind w:left="284" w:hanging="284"/>
        <w:rPr>
          <w:rFonts w:eastAsia="Times New Roman" w:cs="Arial"/>
          <w:color w:val="222222"/>
          <w:sz w:val="20"/>
          <w:szCs w:val="20"/>
          <w:lang w:val="en-GB" w:eastAsia="pl-PL"/>
        </w:rPr>
      </w:pPr>
      <w:r w:rsidRPr="00D91677">
        <w:rPr>
          <w:rFonts w:eastAsia="Times New Roman" w:cs="Arial"/>
          <w:color w:val="222222"/>
          <w:sz w:val="20"/>
          <w:szCs w:val="20"/>
          <w:lang w:val="en-GB" w:eastAsia="pl-PL"/>
        </w:rPr>
        <w:t>Ce:YAG + LED Light Source and its driver with 612/69 nm bandpass filter, for GCaMP excitation and Red Opsins activation</w:t>
      </w:r>
    </w:p>
    <w:p w:rsidR="002F7841" w:rsidRPr="00D91677" w:rsidRDefault="002F7841" w:rsidP="00507502">
      <w:pPr>
        <w:pStyle w:val="Akapitzlist"/>
        <w:numPr>
          <w:ilvl w:val="0"/>
          <w:numId w:val="27"/>
        </w:numPr>
        <w:shd w:val="clear" w:color="auto" w:fill="FFFFFF"/>
        <w:spacing w:after="0" w:line="240" w:lineRule="auto"/>
        <w:ind w:left="284" w:hanging="284"/>
        <w:rPr>
          <w:rFonts w:eastAsia="Times New Roman" w:cs="Arial"/>
          <w:color w:val="222222"/>
          <w:sz w:val="20"/>
          <w:szCs w:val="20"/>
          <w:lang w:val="en-GB" w:eastAsia="pl-PL"/>
        </w:rPr>
      </w:pPr>
      <w:r w:rsidRPr="00D91677">
        <w:rPr>
          <w:rFonts w:eastAsia="Times New Roman" w:cs="Arial"/>
          <w:color w:val="222222"/>
          <w:sz w:val="20"/>
          <w:szCs w:val="20"/>
          <w:lang w:val="en-GB" w:eastAsia="pl-PL"/>
        </w:rPr>
        <w:t>Optogenetics TTL Pulse Generators 4 Channels, for imaging and optogenetic stimulation synchronization</w:t>
      </w:r>
    </w:p>
    <w:p w:rsidR="002F7841" w:rsidRPr="00D91677" w:rsidRDefault="002F7841" w:rsidP="00507502">
      <w:pPr>
        <w:pStyle w:val="Akapitzlist"/>
        <w:numPr>
          <w:ilvl w:val="0"/>
          <w:numId w:val="27"/>
        </w:numPr>
        <w:shd w:val="clear" w:color="auto" w:fill="FFFFFF"/>
        <w:spacing w:after="0" w:line="240" w:lineRule="auto"/>
        <w:ind w:left="284" w:hanging="284"/>
        <w:rPr>
          <w:rFonts w:eastAsia="Times New Roman" w:cs="Arial"/>
          <w:color w:val="222222"/>
          <w:sz w:val="20"/>
          <w:szCs w:val="20"/>
          <w:lang w:val="en-GB" w:eastAsia="pl-PL"/>
        </w:rPr>
      </w:pPr>
      <w:r w:rsidRPr="00D91677">
        <w:rPr>
          <w:rFonts w:eastAsia="Times New Roman" w:cs="Arial"/>
          <w:color w:val="222222"/>
          <w:sz w:val="20"/>
          <w:szCs w:val="20"/>
          <w:lang w:val="en-GB" w:eastAsia="pl-PL"/>
        </w:rPr>
        <w:t xml:space="preserve">Optical </w:t>
      </w:r>
      <w:r w:rsidR="00371199" w:rsidRPr="00D91677">
        <w:rPr>
          <w:rFonts w:eastAsia="Times New Roman" w:cs="Arial"/>
          <w:color w:val="222222"/>
          <w:sz w:val="20"/>
          <w:szCs w:val="20"/>
          <w:lang w:val="en-GB" w:eastAsia="pl-PL"/>
        </w:rPr>
        <w:t>fibre</w:t>
      </w:r>
      <w:r w:rsidRPr="00D91677">
        <w:rPr>
          <w:rFonts w:eastAsia="Times New Roman" w:cs="Arial"/>
          <w:color w:val="222222"/>
          <w:sz w:val="20"/>
          <w:szCs w:val="20"/>
          <w:lang w:val="en-GB" w:eastAsia="pl-PL"/>
        </w:rPr>
        <w:t xml:space="preserve"> patch cords, to connect the light source to the microscope</w:t>
      </w:r>
    </w:p>
    <w:p w:rsidR="002F7841" w:rsidRPr="00D91677" w:rsidRDefault="002F7841" w:rsidP="00507502">
      <w:pPr>
        <w:pStyle w:val="Akapitzlist"/>
        <w:numPr>
          <w:ilvl w:val="0"/>
          <w:numId w:val="27"/>
        </w:numPr>
        <w:shd w:val="clear" w:color="auto" w:fill="FFFFFF"/>
        <w:spacing w:after="0" w:line="240" w:lineRule="auto"/>
        <w:ind w:left="284" w:hanging="284"/>
        <w:rPr>
          <w:rFonts w:eastAsia="Times New Roman" w:cs="Arial"/>
          <w:color w:val="222222"/>
          <w:sz w:val="20"/>
          <w:szCs w:val="20"/>
          <w:lang w:val="en-GB" w:eastAsia="pl-PL"/>
        </w:rPr>
      </w:pPr>
      <w:r w:rsidRPr="00D91677">
        <w:rPr>
          <w:rFonts w:eastAsia="Times New Roman" w:cs="Arial"/>
          <w:color w:val="222222"/>
          <w:sz w:val="20"/>
          <w:szCs w:val="20"/>
          <w:lang w:val="en-GB" w:eastAsia="pl-PL"/>
        </w:rPr>
        <w:t>Fluorescence Microscope Holder 400 and clamp for Fluorescence Microscope Holder</w:t>
      </w:r>
    </w:p>
    <w:p w:rsidR="002F7841" w:rsidRPr="00D91677" w:rsidRDefault="00CA76D5" w:rsidP="00507502">
      <w:pPr>
        <w:pStyle w:val="Akapitzlist"/>
        <w:numPr>
          <w:ilvl w:val="0"/>
          <w:numId w:val="27"/>
        </w:numPr>
        <w:shd w:val="clear" w:color="auto" w:fill="FFFFFF"/>
        <w:spacing w:after="0" w:line="240" w:lineRule="auto"/>
        <w:ind w:left="284" w:hanging="284"/>
        <w:rPr>
          <w:rFonts w:eastAsia="Times New Roman" w:cs="Arial"/>
          <w:color w:val="222222"/>
          <w:sz w:val="20"/>
          <w:szCs w:val="20"/>
          <w:lang w:val="en-GB" w:eastAsia="pl-PL"/>
        </w:rPr>
      </w:pPr>
      <w:r w:rsidRPr="00D91677">
        <w:rPr>
          <w:rFonts w:eastAsia="Times New Roman" w:cs="Arial"/>
          <w:color w:val="222222"/>
          <w:sz w:val="20"/>
          <w:szCs w:val="20"/>
          <w:lang w:val="en-GB" w:eastAsia="pl-PL"/>
        </w:rPr>
        <w:t>Computer software dedicated to the miniscope</w:t>
      </w:r>
    </w:p>
    <w:p w:rsidR="00507502" w:rsidRPr="00D91677" w:rsidRDefault="00507502" w:rsidP="002F7841">
      <w:pPr>
        <w:shd w:val="clear" w:color="auto" w:fill="FFFFFF"/>
        <w:spacing w:after="0" w:line="240" w:lineRule="auto"/>
        <w:rPr>
          <w:rFonts w:eastAsia="Times New Roman" w:cs="Arial"/>
          <w:color w:val="222222"/>
          <w:sz w:val="20"/>
          <w:szCs w:val="20"/>
          <w:lang w:val="en-GB" w:eastAsia="pl-PL"/>
        </w:rPr>
      </w:pPr>
    </w:p>
    <w:p w:rsidR="002F7841" w:rsidRPr="00D91677" w:rsidRDefault="002F7841" w:rsidP="002F7841">
      <w:pPr>
        <w:shd w:val="clear" w:color="auto" w:fill="FFFFFF"/>
        <w:spacing w:after="0" w:line="240" w:lineRule="auto"/>
        <w:rPr>
          <w:rFonts w:eastAsia="Times New Roman" w:cs="Arial"/>
          <w:color w:val="222222"/>
          <w:sz w:val="20"/>
          <w:szCs w:val="20"/>
          <w:u w:val="single"/>
          <w:lang w:val="en-GB" w:eastAsia="pl-PL"/>
        </w:rPr>
      </w:pPr>
      <w:r w:rsidRPr="00D91677">
        <w:rPr>
          <w:rFonts w:eastAsia="Times New Roman" w:cs="Arial"/>
          <w:color w:val="222222"/>
          <w:sz w:val="20"/>
          <w:szCs w:val="20"/>
          <w:u w:val="single"/>
          <w:lang w:val="en-GB" w:eastAsia="pl-PL"/>
        </w:rPr>
        <w:t>However due to our further needs in experiments we also need to order optional and complementary parts such as:</w:t>
      </w:r>
    </w:p>
    <w:p w:rsidR="00507502" w:rsidRPr="00D91677" w:rsidRDefault="00507502" w:rsidP="002F7841">
      <w:pPr>
        <w:shd w:val="clear" w:color="auto" w:fill="FFFFFF"/>
        <w:spacing w:after="0" w:line="240" w:lineRule="auto"/>
        <w:rPr>
          <w:rFonts w:eastAsia="Times New Roman" w:cs="Arial"/>
          <w:color w:val="222222"/>
          <w:sz w:val="20"/>
          <w:szCs w:val="20"/>
          <w:lang w:val="en-GB" w:eastAsia="pl-PL"/>
        </w:rPr>
      </w:pPr>
    </w:p>
    <w:p w:rsidR="002F7841" w:rsidRPr="00D91677" w:rsidRDefault="002F7841" w:rsidP="00507502">
      <w:pPr>
        <w:pStyle w:val="Akapitzlist"/>
        <w:numPr>
          <w:ilvl w:val="0"/>
          <w:numId w:val="28"/>
        </w:numPr>
        <w:shd w:val="clear" w:color="auto" w:fill="FFFFFF"/>
        <w:spacing w:after="0" w:line="240" w:lineRule="auto"/>
        <w:ind w:left="284" w:hanging="284"/>
        <w:rPr>
          <w:rFonts w:eastAsia="Times New Roman" w:cs="Arial"/>
          <w:color w:val="222222"/>
          <w:sz w:val="20"/>
          <w:szCs w:val="20"/>
          <w:lang w:val="en-GB" w:eastAsia="pl-PL"/>
        </w:rPr>
      </w:pPr>
      <w:r w:rsidRPr="00D91677">
        <w:rPr>
          <w:rFonts w:eastAsia="Times New Roman" w:cs="Arial"/>
          <w:color w:val="222222"/>
          <w:sz w:val="20"/>
          <w:szCs w:val="20"/>
          <w:lang w:val="en-GB" w:eastAsia="pl-PL"/>
        </w:rPr>
        <w:t>Set o</w:t>
      </w:r>
      <w:r w:rsidR="00623E1F" w:rsidRPr="00D91677">
        <w:rPr>
          <w:rFonts w:eastAsia="Times New Roman" w:cs="Arial"/>
          <w:color w:val="222222"/>
          <w:sz w:val="20"/>
          <w:szCs w:val="20"/>
          <w:lang w:val="en-GB" w:eastAsia="pl-PL"/>
        </w:rPr>
        <w:t>f</w:t>
      </w:r>
      <w:r w:rsidRPr="00D91677">
        <w:rPr>
          <w:rFonts w:eastAsia="Times New Roman" w:cs="Arial"/>
          <w:color w:val="222222"/>
          <w:sz w:val="20"/>
          <w:szCs w:val="20"/>
          <w:lang w:val="en-GB" w:eastAsia="pl-PL"/>
        </w:rPr>
        <w:t xml:space="preserve"> imaging cannulas size L and set of adjustment protrusion rings allowing for depth adjustment of cannula insertion</w:t>
      </w:r>
    </w:p>
    <w:p w:rsidR="002F7841" w:rsidRPr="00D91677" w:rsidRDefault="002F7841" w:rsidP="00507502">
      <w:pPr>
        <w:pStyle w:val="Akapitzlist"/>
        <w:numPr>
          <w:ilvl w:val="0"/>
          <w:numId w:val="28"/>
        </w:numPr>
        <w:shd w:val="clear" w:color="auto" w:fill="FFFFFF"/>
        <w:spacing w:after="0" w:line="240" w:lineRule="auto"/>
        <w:ind w:left="284" w:hanging="284"/>
        <w:rPr>
          <w:rFonts w:eastAsia="Times New Roman" w:cs="Arial"/>
          <w:color w:val="222222"/>
          <w:sz w:val="20"/>
          <w:szCs w:val="20"/>
          <w:lang w:val="en-GB" w:eastAsia="pl-PL"/>
        </w:rPr>
      </w:pPr>
      <w:r w:rsidRPr="00D91677">
        <w:rPr>
          <w:rFonts w:eastAsia="Times New Roman" w:cs="Arial"/>
          <w:color w:val="222222"/>
          <w:sz w:val="20"/>
          <w:szCs w:val="20"/>
          <w:lang w:val="en-GB" w:eastAsia="pl-PL"/>
        </w:rPr>
        <w:lastRenderedPageBreak/>
        <w:t xml:space="preserve">Assisted 1x1 Pigtailed </w:t>
      </w:r>
      <w:r w:rsidR="00371199" w:rsidRPr="00D91677">
        <w:rPr>
          <w:rFonts w:eastAsia="Times New Roman" w:cs="Arial"/>
          <w:color w:val="222222"/>
          <w:sz w:val="20"/>
          <w:szCs w:val="20"/>
          <w:lang w:val="en-GB" w:eastAsia="pl-PL"/>
        </w:rPr>
        <w:t>Fibre</w:t>
      </w:r>
      <w:r w:rsidRPr="00D91677">
        <w:rPr>
          <w:rFonts w:eastAsia="Times New Roman" w:cs="Arial"/>
          <w:color w:val="222222"/>
          <w:sz w:val="20"/>
          <w:szCs w:val="20"/>
          <w:lang w:val="en-GB" w:eastAsia="pl-PL"/>
        </w:rPr>
        <w:t>-optic &amp; Electric Rotary Joint - 24 contacts - enabling experiments on freely moving mice</w:t>
      </w:r>
    </w:p>
    <w:p w:rsidR="002F7841" w:rsidRPr="00D91677" w:rsidRDefault="002F7841" w:rsidP="00507502">
      <w:pPr>
        <w:pStyle w:val="Akapitzlist"/>
        <w:numPr>
          <w:ilvl w:val="0"/>
          <w:numId w:val="28"/>
        </w:numPr>
        <w:shd w:val="clear" w:color="auto" w:fill="FFFFFF"/>
        <w:spacing w:after="0" w:line="240" w:lineRule="auto"/>
        <w:ind w:left="284" w:hanging="284"/>
        <w:rPr>
          <w:rFonts w:eastAsia="Times New Roman" w:cs="Arial"/>
          <w:color w:val="222222"/>
          <w:sz w:val="20"/>
          <w:szCs w:val="20"/>
          <w:lang w:val="en-GB" w:eastAsia="pl-PL"/>
        </w:rPr>
      </w:pPr>
      <w:r w:rsidRPr="00D91677">
        <w:rPr>
          <w:rFonts w:eastAsia="Times New Roman" w:cs="Arial"/>
          <w:color w:val="222222"/>
          <w:sz w:val="20"/>
          <w:szCs w:val="20"/>
          <w:lang w:val="en-GB" w:eastAsia="pl-PL"/>
        </w:rPr>
        <w:t>Twist on microscope dummy - for habitual preferences to Microscope Body </w:t>
      </w:r>
    </w:p>
    <w:p w:rsidR="002F7841" w:rsidRPr="00D91677" w:rsidRDefault="002F7841" w:rsidP="00EC5496">
      <w:pPr>
        <w:shd w:val="clear" w:color="auto" w:fill="FFFFFF"/>
        <w:spacing w:after="0" w:line="240" w:lineRule="auto"/>
        <w:jc w:val="both"/>
        <w:rPr>
          <w:rFonts w:cstheme="minorHAnsi"/>
          <w:sz w:val="20"/>
          <w:szCs w:val="20"/>
          <w:lang w:val="en-GB"/>
        </w:rPr>
      </w:pPr>
    </w:p>
    <w:p w:rsidR="00F4300A" w:rsidRPr="00D91677" w:rsidRDefault="00586A03" w:rsidP="00F4300A">
      <w:pPr>
        <w:tabs>
          <w:tab w:val="left" w:pos="709"/>
        </w:tabs>
        <w:autoSpaceDE w:val="0"/>
        <w:autoSpaceDN w:val="0"/>
        <w:adjustRightInd w:val="0"/>
        <w:spacing w:after="0" w:line="240" w:lineRule="auto"/>
        <w:rPr>
          <w:rFonts w:cstheme="minorHAnsi"/>
          <w:sz w:val="20"/>
          <w:szCs w:val="20"/>
          <w:lang w:val="en-GB"/>
        </w:rPr>
      </w:pPr>
      <w:r>
        <w:rPr>
          <w:rFonts w:cstheme="minorHAnsi"/>
          <w:b/>
          <w:sz w:val="20"/>
          <w:szCs w:val="20"/>
          <w:lang w:val="en-GB"/>
        </w:rPr>
        <w:t>Contract</w:t>
      </w:r>
      <w:r w:rsidRPr="00D91677">
        <w:rPr>
          <w:rFonts w:cstheme="minorHAnsi"/>
          <w:b/>
          <w:sz w:val="20"/>
          <w:szCs w:val="20"/>
          <w:lang w:val="en-GB"/>
        </w:rPr>
        <w:t xml:space="preserve"> </w:t>
      </w:r>
      <w:r w:rsidR="00F4300A" w:rsidRPr="00D91677">
        <w:rPr>
          <w:rFonts w:cstheme="minorHAnsi"/>
          <w:b/>
          <w:sz w:val="20"/>
          <w:szCs w:val="20"/>
          <w:lang w:val="en-GB"/>
        </w:rPr>
        <w:t xml:space="preserve">completion date: </w:t>
      </w:r>
      <w:r w:rsidR="00F4300A" w:rsidRPr="00D91677">
        <w:rPr>
          <w:rFonts w:cstheme="minorHAnsi"/>
          <w:sz w:val="20"/>
          <w:szCs w:val="20"/>
          <w:lang w:val="en-GB"/>
        </w:rPr>
        <w:t>max</w:t>
      </w:r>
      <w:r w:rsidR="004D580D" w:rsidRPr="00D91677">
        <w:rPr>
          <w:rFonts w:cstheme="minorHAnsi"/>
          <w:sz w:val="20"/>
          <w:szCs w:val="20"/>
          <w:lang w:val="en-GB"/>
        </w:rPr>
        <w:t xml:space="preserve">. </w:t>
      </w:r>
      <w:r w:rsidR="00700083" w:rsidRPr="00D91677">
        <w:rPr>
          <w:rFonts w:cstheme="minorHAnsi"/>
          <w:sz w:val="20"/>
          <w:szCs w:val="20"/>
          <w:lang w:val="en-GB"/>
        </w:rPr>
        <w:t>6</w:t>
      </w:r>
      <w:r w:rsidR="007E4DD8" w:rsidRPr="00D91677">
        <w:rPr>
          <w:rFonts w:cstheme="minorHAnsi"/>
          <w:sz w:val="20"/>
          <w:szCs w:val="20"/>
          <w:lang w:val="en-GB"/>
        </w:rPr>
        <w:t>0 days</w:t>
      </w:r>
      <w:r w:rsidR="004D580D" w:rsidRPr="00D91677">
        <w:rPr>
          <w:rFonts w:cstheme="minorHAnsi"/>
          <w:sz w:val="20"/>
          <w:szCs w:val="20"/>
          <w:lang w:val="en-GB"/>
        </w:rPr>
        <w:t xml:space="preserve"> </w:t>
      </w:r>
      <w:r w:rsidR="00F4300A" w:rsidRPr="00D91677">
        <w:rPr>
          <w:rFonts w:cstheme="minorHAnsi"/>
          <w:sz w:val="20"/>
          <w:szCs w:val="20"/>
          <w:lang w:val="en-GB"/>
        </w:rPr>
        <w:t xml:space="preserve">from the date of signing the </w:t>
      </w:r>
      <w:r w:rsidR="00DE5EDB">
        <w:rPr>
          <w:rFonts w:cstheme="minorHAnsi"/>
          <w:sz w:val="20"/>
          <w:szCs w:val="20"/>
          <w:lang w:val="en-GB"/>
        </w:rPr>
        <w:t>agreement</w:t>
      </w:r>
      <w:r w:rsidR="004D580D" w:rsidRPr="00D91677">
        <w:rPr>
          <w:rFonts w:cstheme="minorHAnsi"/>
          <w:sz w:val="20"/>
          <w:szCs w:val="20"/>
          <w:lang w:val="en-GB"/>
        </w:rPr>
        <w:t>.</w:t>
      </w:r>
    </w:p>
    <w:p w:rsidR="00234399" w:rsidRPr="00D91677" w:rsidRDefault="00A307CD" w:rsidP="00FD104C">
      <w:pPr>
        <w:autoSpaceDE w:val="0"/>
        <w:autoSpaceDN w:val="0"/>
        <w:adjustRightInd w:val="0"/>
        <w:spacing w:after="0" w:line="240" w:lineRule="auto"/>
        <w:rPr>
          <w:rFonts w:cstheme="minorHAnsi"/>
          <w:sz w:val="20"/>
          <w:szCs w:val="20"/>
          <w:lang w:val="en-GB"/>
        </w:rPr>
      </w:pPr>
      <w:r w:rsidRPr="00D91677">
        <w:rPr>
          <w:rFonts w:cstheme="minorHAnsi"/>
          <w:b/>
          <w:sz w:val="20"/>
          <w:szCs w:val="20"/>
          <w:lang w:val="en-GB"/>
        </w:rPr>
        <w:t xml:space="preserve">Warranty: </w:t>
      </w:r>
      <w:r w:rsidRPr="00D91677">
        <w:rPr>
          <w:rFonts w:cstheme="minorHAnsi"/>
          <w:sz w:val="20"/>
          <w:szCs w:val="20"/>
          <w:lang w:val="en-GB"/>
        </w:rPr>
        <w:t>min. 12 months</w:t>
      </w:r>
      <w:r w:rsidR="00FD104C" w:rsidRPr="00D91677">
        <w:rPr>
          <w:rFonts w:cstheme="minorHAnsi"/>
          <w:sz w:val="20"/>
          <w:szCs w:val="20"/>
          <w:lang w:val="en-GB"/>
        </w:rPr>
        <w:t>,</w:t>
      </w:r>
    </w:p>
    <w:p w:rsidR="00FD104C" w:rsidRPr="00D91677" w:rsidRDefault="00177B5B" w:rsidP="00FD104C">
      <w:pPr>
        <w:autoSpaceDE w:val="0"/>
        <w:autoSpaceDN w:val="0"/>
        <w:adjustRightInd w:val="0"/>
        <w:spacing w:after="0" w:line="240" w:lineRule="auto"/>
        <w:rPr>
          <w:rFonts w:ascii="Calibri" w:hAnsi="Calibri" w:cstheme="minorHAnsi"/>
          <w:sz w:val="20"/>
          <w:szCs w:val="20"/>
          <w:lang w:val="en-GB"/>
        </w:rPr>
      </w:pPr>
      <w:r w:rsidRPr="00D91677">
        <w:rPr>
          <w:rFonts w:cstheme="minorHAnsi"/>
          <w:sz w:val="20"/>
          <w:szCs w:val="20"/>
          <w:lang w:val="en-GB"/>
        </w:rPr>
        <w:t>Shipping, d</w:t>
      </w:r>
      <w:r w:rsidR="00234399" w:rsidRPr="00D91677">
        <w:rPr>
          <w:rFonts w:cstheme="minorHAnsi"/>
          <w:sz w:val="20"/>
          <w:szCs w:val="20"/>
          <w:lang w:val="en-GB"/>
        </w:rPr>
        <w:t xml:space="preserve">elivery, </w:t>
      </w:r>
      <w:r w:rsidR="00371199">
        <w:rPr>
          <w:rFonts w:cstheme="minorHAnsi"/>
          <w:sz w:val="20"/>
          <w:szCs w:val="20"/>
          <w:lang w:val="en-GB"/>
        </w:rPr>
        <w:t>carrying</w:t>
      </w:r>
      <w:r w:rsidR="00371199" w:rsidRPr="00D91677">
        <w:rPr>
          <w:rFonts w:cstheme="minorHAnsi"/>
          <w:sz w:val="20"/>
          <w:szCs w:val="20"/>
          <w:lang w:val="en-GB"/>
        </w:rPr>
        <w:t xml:space="preserve"> </w:t>
      </w:r>
    </w:p>
    <w:p w:rsidR="00FD104C" w:rsidRPr="00D91677" w:rsidRDefault="00FD104C" w:rsidP="00FD104C">
      <w:pPr>
        <w:autoSpaceDE w:val="0"/>
        <w:autoSpaceDN w:val="0"/>
        <w:adjustRightInd w:val="0"/>
        <w:spacing w:after="0" w:line="240" w:lineRule="auto"/>
        <w:rPr>
          <w:rFonts w:ascii="Calibri" w:hAnsi="Calibri" w:cstheme="minorHAnsi"/>
          <w:sz w:val="20"/>
          <w:szCs w:val="20"/>
          <w:lang w:val="en-GB"/>
        </w:rPr>
      </w:pPr>
    </w:p>
    <w:p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rsidR="00012FAC" w:rsidRPr="00D91677" w:rsidRDefault="00F4300A" w:rsidP="00012FAC">
      <w:pPr>
        <w:autoSpaceDE w:val="0"/>
        <w:autoSpaceDN w:val="0"/>
        <w:adjustRightInd w:val="0"/>
        <w:jc w:val="both"/>
        <w:rPr>
          <w:rFonts w:ascii="Calibri" w:hAnsi="Calibri" w:cstheme="minorHAnsi"/>
          <w:b/>
          <w:bCs/>
          <w:color w:val="FF0000"/>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p>
    <w:p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rsidR="00F4300A" w:rsidRPr="00D91677" w:rsidRDefault="00F4300A" w:rsidP="00F4300A">
      <w:pPr>
        <w:numPr>
          <w:ilvl w:val="0"/>
          <w:numId w:val="1"/>
        </w:numPr>
        <w:autoSpaceDE w:val="0"/>
        <w:autoSpaceDN w:val="0"/>
        <w:adjustRightInd w:val="0"/>
        <w:spacing w:after="0" w:line="240" w:lineRule="auto"/>
        <w:ind w:right="-46"/>
        <w:jc w:val="both"/>
        <w:rPr>
          <w:rFonts w:cstheme="minorHAnsi"/>
          <w:sz w:val="20"/>
          <w:szCs w:val="20"/>
          <w:lang w:val="en-GB"/>
        </w:rPr>
      </w:pPr>
      <w:r w:rsidRPr="00D91677">
        <w:rPr>
          <w:rFonts w:cstheme="minorHAnsi"/>
          <w:sz w:val="20"/>
          <w:szCs w:val="20"/>
          <w:lang w:val="en-GB"/>
        </w:rPr>
        <w:t xml:space="preserve">The </w:t>
      </w:r>
      <w:r w:rsidR="00145DA1">
        <w:rPr>
          <w:rFonts w:cstheme="minorHAnsi"/>
          <w:sz w:val="20"/>
          <w:szCs w:val="20"/>
          <w:lang w:val="en-GB"/>
        </w:rPr>
        <w:t>bid</w:t>
      </w:r>
      <w:r w:rsidR="00145DA1" w:rsidRPr="00D91677">
        <w:rPr>
          <w:rFonts w:cstheme="minorHAnsi"/>
          <w:sz w:val="20"/>
          <w:szCs w:val="20"/>
          <w:lang w:val="en-GB"/>
        </w:rPr>
        <w:t xml:space="preserve"> </w:t>
      </w:r>
      <w:r w:rsidRPr="00D91677">
        <w:rPr>
          <w:rFonts w:cstheme="minorHAnsi"/>
          <w:sz w:val="20"/>
          <w:szCs w:val="20"/>
          <w:lang w:val="en-GB"/>
        </w:rPr>
        <w:t xml:space="preserve">should be prepared on the </w:t>
      </w:r>
      <w:r w:rsidR="00F521E4" w:rsidRPr="00D91677">
        <w:rPr>
          <w:rFonts w:cstheme="minorHAnsi"/>
          <w:sz w:val="20"/>
          <w:szCs w:val="20"/>
          <w:lang w:val="en-GB"/>
        </w:rPr>
        <w:t xml:space="preserve">form attached as </w:t>
      </w:r>
      <w:r w:rsidR="00BB14EC" w:rsidRPr="00D91677">
        <w:rPr>
          <w:rFonts w:cstheme="minorHAnsi"/>
          <w:sz w:val="20"/>
          <w:szCs w:val="20"/>
          <w:lang w:val="en-GB"/>
        </w:rPr>
        <w:t>A</w:t>
      </w:r>
      <w:r w:rsidR="00BB14EC">
        <w:rPr>
          <w:rFonts w:cstheme="minorHAnsi"/>
          <w:sz w:val="20"/>
          <w:szCs w:val="20"/>
          <w:lang w:val="en-GB"/>
        </w:rPr>
        <w:t>ppendix No.</w:t>
      </w:r>
      <w:r w:rsidR="00BB14EC" w:rsidRPr="00D91677">
        <w:rPr>
          <w:rFonts w:cstheme="minorHAnsi"/>
          <w:sz w:val="20"/>
          <w:szCs w:val="20"/>
          <w:lang w:val="en-GB"/>
        </w:rPr>
        <w:t xml:space="preserve"> </w:t>
      </w:r>
      <w:r w:rsidR="00F521E4" w:rsidRPr="00D91677">
        <w:rPr>
          <w:rFonts w:cstheme="minorHAnsi"/>
          <w:sz w:val="20"/>
          <w:szCs w:val="20"/>
          <w:lang w:val="en-GB"/>
        </w:rPr>
        <w:t>1 to this request for quotation.</w:t>
      </w:r>
    </w:p>
    <w:p w:rsidR="00F4300A" w:rsidRPr="00D91677" w:rsidRDefault="00F4300A" w:rsidP="00F4300A">
      <w:pPr>
        <w:numPr>
          <w:ilvl w:val="0"/>
          <w:numId w:val="1"/>
        </w:numPr>
        <w:autoSpaceDE w:val="0"/>
        <w:autoSpaceDN w:val="0"/>
        <w:adjustRightInd w:val="0"/>
        <w:spacing w:after="0" w:line="240" w:lineRule="auto"/>
        <w:ind w:right="-46"/>
        <w:jc w:val="both"/>
        <w:rPr>
          <w:rFonts w:cstheme="minorHAnsi"/>
          <w:sz w:val="20"/>
          <w:szCs w:val="20"/>
          <w:lang w:val="en-GB"/>
        </w:rPr>
      </w:pPr>
      <w:r w:rsidRPr="00D91677">
        <w:rPr>
          <w:rFonts w:cstheme="minorHAnsi"/>
          <w:sz w:val="20"/>
          <w:szCs w:val="20"/>
          <w:lang w:val="en-GB"/>
        </w:rPr>
        <w:t xml:space="preserve">The bid should contain information about the total net and gross value of the contract: The Bidder, whose bid will be selected, shall provide </w:t>
      </w:r>
      <w:r w:rsidR="00145DA1" w:rsidRPr="00D91677">
        <w:rPr>
          <w:rFonts w:cstheme="minorHAnsi"/>
          <w:sz w:val="20"/>
          <w:szCs w:val="20"/>
          <w:lang w:val="en-GB"/>
        </w:rPr>
        <w:t xml:space="preserve">before signing the </w:t>
      </w:r>
      <w:r w:rsidR="00DE5EDB">
        <w:rPr>
          <w:rFonts w:cstheme="minorHAnsi"/>
          <w:sz w:val="20"/>
          <w:szCs w:val="20"/>
          <w:lang w:val="en-GB"/>
        </w:rPr>
        <w:t>agreement</w:t>
      </w:r>
      <w:r w:rsidR="00145DA1" w:rsidRPr="00D91677">
        <w:rPr>
          <w:rFonts w:cstheme="minorHAnsi"/>
          <w:sz w:val="20"/>
          <w:szCs w:val="20"/>
          <w:lang w:val="en-GB"/>
        </w:rPr>
        <w:t xml:space="preserve"> </w:t>
      </w:r>
      <w:r w:rsidR="00145DA1">
        <w:rPr>
          <w:rFonts w:cstheme="minorHAnsi"/>
          <w:sz w:val="20"/>
          <w:szCs w:val="20"/>
          <w:lang w:val="en-GB"/>
        </w:rPr>
        <w:t xml:space="preserve">the </w:t>
      </w:r>
      <w:r w:rsidRPr="00D91677">
        <w:rPr>
          <w:rFonts w:cstheme="minorHAnsi"/>
          <w:sz w:val="20"/>
          <w:szCs w:val="20"/>
          <w:lang w:val="en-GB"/>
        </w:rPr>
        <w:t>scans of: the certificate of entry into the register of economic activity, REGON certificate and NIP certificate.</w:t>
      </w:r>
    </w:p>
    <w:p w:rsidR="00F4300A" w:rsidRPr="00D91677" w:rsidRDefault="00F4300A" w:rsidP="00CC4D50">
      <w:pPr>
        <w:numPr>
          <w:ilvl w:val="0"/>
          <w:numId w:val="1"/>
        </w:numPr>
        <w:autoSpaceDE w:val="0"/>
        <w:autoSpaceDN w:val="0"/>
        <w:adjustRightInd w:val="0"/>
        <w:spacing w:after="0" w:line="240" w:lineRule="auto"/>
        <w:ind w:right="-46"/>
        <w:rPr>
          <w:rFonts w:cstheme="minorHAnsi"/>
          <w:color w:val="000000"/>
          <w:sz w:val="20"/>
          <w:szCs w:val="20"/>
          <w:lang w:val="en-GB"/>
        </w:rPr>
      </w:pPr>
      <w:r w:rsidRPr="00D91677">
        <w:rPr>
          <w:rFonts w:cstheme="minorHAnsi"/>
          <w:color w:val="000000"/>
          <w:sz w:val="20"/>
          <w:szCs w:val="20"/>
          <w:lang w:val="en-GB"/>
        </w:rPr>
        <w:t>Bids must be submitted electronically as a scanned original bid via email to:</w:t>
      </w:r>
      <w:r w:rsidR="00CC4D50" w:rsidRPr="00D91677">
        <w:rPr>
          <w:rFonts w:cstheme="minorHAnsi"/>
          <w:color w:val="000000"/>
          <w:sz w:val="20"/>
          <w:szCs w:val="20"/>
          <w:lang w:val="en-GB"/>
        </w:rPr>
        <w:t xml:space="preserve"> </w:t>
      </w:r>
      <w:r w:rsidR="00472A61" w:rsidRPr="00D91677">
        <w:rPr>
          <w:rFonts w:cstheme="minorHAnsi"/>
          <w:color w:val="000000"/>
          <w:sz w:val="20"/>
          <w:szCs w:val="20"/>
          <w:lang w:val="en-GB"/>
        </w:rPr>
        <w:t>a</w:t>
      </w:r>
      <w:r w:rsidR="00574F05" w:rsidRPr="00D91677">
        <w:rPr>
          <w:rFonts w:cstheme="minorHAnsi"/>
          <w:color w:val="000000"/>
          <w:sz w:val="20"/>
          <w:szCs w:val="20"/>
          <w:lang w:val="en-GB"/>
        </w:rPr>
        <w:t>.</w:t>
      </w:r>
      <w:r w:rsidR="00472A61" w:rsidRPr="00D91677">
        <w:rPr>
          <w:rFonts w:cstheme="minorHAnsi"/>
          <w:color w:val="000000"/>
          <w:sz w:val="20"/>
          <w:szCs w:val="20"/>
          <w:lang w:val="en-GB"/>
        </w:rPr>
        <w:t>caly</w:t>
      </w:r>
      <w:r w:rsidR="00574F05" w:rsidRPr="00D91677">
        <w:rPr>
          <w:rFonts w:cstheme="minorHAnsi"/>
          <w:color w:val="000000"/>
          <w:sz w:val="20"/>
          <w:szCs w:val="20"/>
          <w:lang w:val="en-GB"/>
        </w:rPr>
        <w:t>@</w:t>
      </w:r>
      <w:r w:rsidR="00012FAC" w:rsidRPr="00D91677">
        <w:rPr>
          <w:rFonts w:cstheme="minorHAnsi"/>
          <w:color w:val="000000"/>
          <w:sz w:val="20"/>
          <w:szCs w:val="20"/>
          <w:lang w:val="en-GB"/>
        </w:rPr>
        <w:t>nencki.edu.pl</w:t>
      </w:r>
      <w:r w:rsidRPr="00D91677">
        <w:rPr>
          <w:rFonts w:cstheme="minorHAnsi"/>
          <w:color w:val="000000"/>
          <w:sz w:val="20"/>
          <w:szCs w:val="20"/>
          <w:lang w:val="en-GB"/>
        </w:rPr>
        <w:t>.</w:t>
      </w:r>
    </w:p>
    <w:p w:rsidR="00012FAC" w:rsidRPr="00D91677" w:rsidRDefault="00F4300A" w:rsidP="00012FAC">
      <w:pPr>
        <w:numPr>
          <w:ilvl w:val="0"/>
          <w:numId w:val="1"/>
        </w:numPr>
        <w:autoSpaceDE w:val="0"/>
        <w:autoSpaceDN w:val="0"/>
        <w:adjustRightInd w:val="0"/>
        <w:spacing w:after="0" w:line="240" w:lineRule="auto"/>
        <w:ind w:right="-46"/>
        <w:jc w:val="both"/>
        <w:rPr>
          <w:rFonts w:cstheme="minorHAnsi"/>
          <w:color w:val="000000"/>
          <w:sz w:val="20"/>
          <w:szCs w:val="20"/>
          <w:lang w:val="en-GB"/>
        </w:rPr>
      </w:pPr>
      <w:r w:rsidRPr="00D91677">
        <w:rPr>
          <w:rFonts w:cstheme="minorHAnsi"/>
          <w:color w:val="000000"/>
          <w:sz w:val="20"/>
          <w:szCs w:val="20"/>
          <w:lang w:val="en-GB"/>
        </w:rPr>
        <w:t xml:space="preserve">Please mark your </w:t>
      </w:r>
      <w:r w:rsidR="00145DA1">
        <w:rPr>
          <w:rFonts w:cstheme="minorHAnsi"/>
          <w:color w:val="000000"/>
          <w:sz w:val="20"/>
          <w:szCs w:val="20"/>
          <w:lang w:val="en-GB"/>
        </w:rPr>
        <w:t>bid</w:t>
      </w:r>
      <w:r w:rsidR="00145DA1" w:rsidRPr="00D91677">
        <w:rPr>
          <w:rFonts w:cstheme="minorHAnsi"/>
          <w:color w:val="000000"/>
          <w:sz w:val="20"/>
          <w:szCs w:val="20"/>
          <w:lang w:val="en-GB"/>
        </w:rPr>
        <w:t xml:space="preserve"> </w:t>
      </w:r>
      <w:r w:rsidR="00372802">
        <w:rPr>
          <w:rFonts w:cstheme="minorHAnsi"/>
          <w:color w:val="000000"/>
          <w:sz w:val="20"/>
          <w:szCs w:val="20"/>
          <w:lang w:val="en-GB"/>
        </w:rPr>
        <w:t xml:space="preserve">by adding </w:t>
      </w:r>
      <w:r w:rsidRPr="00D91677">
        <w:rPr>
          <w:rFonts w:cstheme="minorHAnsi"/>
          <w:color w:val="000000"/>
          <w:sz w:val="20"/>
          <w:szCs w:val="20"/>
          <w:lang w:val="en-GB"/>
        </w:rPr>
        <w:t xml:space="preserve">in the subject line of your email: </w:t>
      </w:r>
      <w:r w:rsidR="00472A61" w:rsidRPr="00D91677">
        <w:rPr>
          <w:rFonts w:cstheme="minorHAnsi"/>
          <w:b/>
          <w:sz w:val="20"/>
          <w:szCs w:val="20"/>
          <w:lang w:val="en-GB"/>
        </w:rPr>
        <w:t>Microscope</w:t>
      </w:r>
      <w:r w:rsidR="00FE24CE" w:rsidRPr="00D91677">
        <w:rPr>
          <w:rFonts w:cstheme="minorHAnsi"/>
          <w:b/>
          <w:sz w:val="20"/>
          <w:szCs w:val="20"/>
          <w:lang w:val="en-GB"/>
        </w:rPr>
        <w:t>.</w:t>
      </w:r>
    </w:p>
    <w:p w:rsidR="00F4300A" w:rsidRPr="00D91677" w:rsidRDefault="00F4300A" w:rsidP="00F4300A">
      <w:pPr>
        <w:numPr>
          <w:ilvl w:val="0"/>
          <w:numId w:val="1"/>
        </w:numPr>
        <w:autoSpaceDE w:val="0"/>
        <w:autoSpaceDN w:val="0"/>
        <w:adjustRightInd w:val="0"/>
        <w:spacing w:after="0" w:line="240" w:lineRule="auto"/>
        <w:ind w:right="-46"/>
        <w:jc w:val="both"/>
        <w:rPr>
          <w:rFonts w:cstheme="minorHAnsi"/>
          <w:sz w:val="20"/>
          <w:szCs w:val="20"/>
          <w:lang w:val="en-GB"/>
        </w:rPr>
      </w:pPr>
      <w:r w:rsidRPr="00D91677">
        <w:rPr>
          <w:rFonts w:cstheme="minorHAnsi"/>
          <w:sz w:val="20"/>
          <w:szCs w:val="20"/>
          <w:lang w:val="en-GB"/>
        </w:rPr>
        <w:t>Only the bids contain</w:t>
      </w:r>
      <w:r w:rsidR="00372802">
        <w:rPr>
          <w:rFonts w:cstheme="minorHAnsi"/>
          <w:sz w:val="20"/>
          <w:szCs w:val="20"/>
          <w:lang w:val="en-GB"/>
        </w:rPr>
        <w:t>ing</w:t>
      </w:r>
      <w:r w:rsidRPr="00D91677">
        <w:rPr>
          <w:rFonts w:cstheme="minorHAnsi"/>
          <w:sz w:val="20"/>
          <w:szCs w:val="20"/>
          <w:lang w:val="en-GB"/>
        </w:rPr>
        <w:t xml:space="preserve"> all of the elements listed above will be evaluated.</w:t>
      </w:r>
    </w:p>
    <w:p w:rsidR="00F4300A" w:rsidRPr="00D91677" w:rsidRDefault="00372802"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rsidR="00F4300A" w:rsidRPr="00D91677"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 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rsidR="00F4300A" w:rsidRPr="00D91677"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rsidR="00F4300A" w:rsidRPr="00D91677"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 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rsidR="00F4300A" w:rsidRPr="00D91677"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 Only non-rejectable bids will be evaluated.</w:t>
      </w:r>
    </w:p>
    <w:p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w:t>
      </w:r>
      <w:bookmarkStart w:id="0" w:name="_GoBack"/>
      <w:bookmarkEnd w:id="0"/>
      <w:r w:rsidR="00DE5EDB">
        <w:rPr>
          <w:rFonts w:cstheme="minorHAnsi"/>
          <w:sz w:val="20"/>
          <w:szCs w:val="20"/>
          <w:lang w:val="en-GB"/>
        </w:rPr>
        <w:t>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up to </w:t>
      </w:r>
      <w:r w:rsidR="00EC5496" w:rsidRPr="00D91677">
        <w:rPr>
          <w:rFonts w:cstheme="minorHAnsi"/>
          <w:sz w:val="20"/>
          <w:szCs w:val="20"/>
          <w:lang w:val="en-GB"/>
        </w:rPr>
        <w:t>6</w:t>
      </w:r>
      <w:r w:rsidR="006661CB" w:rsidRPr="00D91677">
        <w:rPr>
          <w:rFonts w:cstheme="minorHAnsi"/>
          <w:sz w:val="20"/>
          <w:szCs w:val="20"/>
          <w:lang w:val="en-GB"/>
        </w:rPr>
        <w:t xml:space="preserve">0 days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b/>
          <w:sz w:val="20"/>
          <w:szCs w:val="20"/>
          <w:lang w:val="en-GB"/>
        </w:rPr>
      </w:pPr>
      <w:r w:rsidRPr="00D91677">
        <w:rPr>
          <w:rFonts w:cstheme="minorHAnsi"/>
          <w:sz w:val="20"/>
          <w:szCs w:val="20"/>
          <w:lang w:val="en-GB"/>
        </w:rPr>
        <w:t xml:space="preserve">The selection of the </w:t>
      </w:r>
      <w:r w:rsidR="003655FE">
        <w:rPr>
          <w:rFonts w:cstheme="minorHAnsi"/>
          <w:sz w:val="20"/>
          <w:szCs w:val="20"/>
          <w:lang w:val="en-GB"/>
        </w:rPr>
        <w:t>Contractor</w:t>
      </w:r>
      <w:r w:rsidRPr="00D91677">
        <w:rPr>
          <w:rFonts w:cstheme="minorHAnsi"/>
          <w:sz w:val="20"/>
          <w:szCs w:val="20"/>
          <w:lang w:val="en-GB"/>
        </w:rPr>
        <w:t xml:space="preserve"> will be announced on the Contracting Authority's website as soon as the procedure is completed.</w:t>
      </w:r>
    </w:p>
    <w:p w:rsidR="00F4300A" w:rsidRPr="00D91677" w:rsidRDefault="00F4300A" w:rsidP="00F4300A">
      <w:pPr>
        <w:pStyle w:val="Tekstwstpniesformatowany"/>
        <w:ind w:left="850"/>
        <w:jc w:val="both"/>
        <w:rPr>
          <w:rFonts w:ascii="Calibri" w:hAnsi="Calibri"/>
          <w:sz w:val="20"/>
          <w:szCs w:val="20"/>
          <w:lang w:val="en-GB"/>
        </w:rPr>
      </w:pPr>
    </w:p>
    <w:p w:rsidR="00F4300A" w:rsidRPr="00D91677" w:rsidRDefault="00F4300A" w:rsidP="00F4300A">
      <w:pPr>
        <w:pStyle w:val="Tekstwstpniesformatowany"/>
        <w:ind w:left="850"/>
        <w:jc w:val="both"/>
        <w:rPr>
          <w:rFonts w:ascii="Calibri" w:hAnsi="Calibri"/>
          <w:sz w:val="20"/>
          <w:szCs w:val="20"/>
          <w:lang w:val="en-GB"/>
        </w:rPr>
      </w:pPr>
    </w:p>
    <w:p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9" w:history="1">
        <w:r w:rsidR="00E138CF" w:rsidRPr="00B612C9">
          <w:rPr>
            <w:rStyle w:val="Hipercze"/>
            <w:rFonts w:ascii="Calibri" w:hAnsi="Calibri" w:cs="Calibri"/>
            <w:lang w:val="en-GB"/>
          </w:rPr>
          <w:t>http://www.nencki.edu.pl_</w:t>
        </w:r>
      </w:hyperlink>
    </w:p>
    <w:p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FD104C">
      <w:pgSz w:w="11906" w:h="16838"/>
      <w:pgMar w:top="1135" w:right="1440" w:bottom="1135"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B0085" w16cex:dateUtc="2021-01-02T13: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6B" w:rsidRDefault="001B786B" w:rsidP="00CC4D50">
      <w:pPr>
        <w:spacing w:after="0" w:line="240" w:lineRule="auto"/>
      </w:pPr>
      <w:r>
        <w:separator/>
      </w:r>
    </w:p>
  </w:endnote>
  <w:endnote w:type="continuationSeparator" w:id="0">
    <w:p w:rsidR="001B786B" w:rsidRDefault="001B786B"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6B" w:rsidRDefault="001B786B" w:rsidP="00CC4D50">
      <w:pPr>
        <w:spacing w:after="0" w:line="240" w:lineRule="auto"/>
      </w:pPr>
      <w:r>
        <w:separator/>
      </w:r>
    </w:p>
  </w:footnote>
  <w:footnote w:type="continuationSeparator" w:id="0">
    <w:p w:rsidR="001B786B" w:rsidRDefault="001B786B" w:rsidP="00CC4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9.5pt;visibility:visible" o:bullet="t">
        <v:imagedata r:id="rId1" o:title=""/>
      </v:shape>
    </w:pict>
  </w:numPicBullet>
  <w:numPicBullet w:numPicBulletId="1">
    <w:pict>
      <v:shape id="_x0000_i1029" type="#_x0000_t75" style="width:18.75pt;height:18.75pt;visibility:visible" o:bullet="t">
        <v:imagedata r:id="rId2" o:title=""/>
      </v:shape>
    </w:pict>
  </w:numPicBullet>
  <w:abstractNum w:abstractNumId="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
  </w:num>
  <w:num w:numId="5">
    <w:abstractNumId w:val="13"/>
  </w:num>
  <w:num w:numId="6">
    <w:abstractNumId w:val="24"/>
  </w:num>
  <w:num w:numId="7">
    <w:abstractNumId w:val="17"/>
  </w:num>
  <w:num w:numId="8">
    <w:abstractNumId w:val="22"/>
  </w:num>
  <w:num w:numId="9">
    <w:abstractNumId w:val="6"/>
  </w:num>
  <w:num w:numId="10">
    <w:abstractNumId w:val="20"/>
  </w:num>
  <w:num w:numId="11">
    <w:abstractNumId w:val="7"/>
  </w:num>
  <w:num w:numId="12">
    <w:abstractNumId w:val="14"/>
  </w:num>
  <w:num w:numId="13">
    <w:abstractNumId w:val="18"/>
  </w:num>
  <w:num w:numId="14">
    <w:abstractNumId w:val="0"/>
  </w:num>
  <w:num w:numId="15">
    <w:abstractNumId w:val="11"/>
  </w:num>
  <w:num w:numId="16">
    <w:abstractNumId w:val="5"/>
  </w:num>
  <w:num w:numId="17">
    <w:abstractNumId w:val="23"/>
  </w:num>
  <w:num w:numId="18">
    <w:abstractNumId w:val="8"/>
  </w:num>
  <w:num w:numId="19">
    <w:abstractNumId w:val="21"/>
  </w:num>
  <w:num w:numId="20">
    <w:abstractNumId w:val="10"/>
  </w:num>
  <w:num w:numId="21">
    <w:abstractNumId w:val="16"/>
  </w:num>
  <w:num w:numId="22">
    <w:abstractNumId w:val="9"/>
  </w:num>
  <w:num w:numId="23">
    <w:abstractNumId w:val="1"/>
  </w:num>
  <w:num w:numId="24">
    <w:abstractNumId w:val="15"/>
  </w:num>
  <w:num w:numId="25">
    <w:abstractNumId w:val="3"/>
  </w:num>
  <w:num w:numId="26">
    <w:abstractNumId w:val="26"/>
  </w:num>
  <w:num w:numId="27">
    <w:abstractNumId w:val="19"/>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TIX">
    <w15:presenceInfo w15:providerId="None" w15:userId="FAT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83"/>
    <w:rsid w:val="00012FAC"/>
    <w:rsid w:val="00022033"/>
    <w:rsid w:val="000303AD"/>
    <w:rsid w:val="0004293D"/>
    <w:rsid w:val="00076946"/>
    <w:rsid w:val="00092BB7"/>
    <w:rsid w:val="000F6803"/>
    <w:rsid w:val="00121784"/>
    <w:rsid w:val="00136F7E"/>
    <w:rsid w:val="00145DA1"/>
    <w:rsid w:val="00177B5B"/>
    <w:rsid w:val="001951EB"/>
    <w:rsid w:val="001B786B"/>
    <w:rsid w:val="001C1619"/>
    <w:rsid w:val="002329A0"/>
    <w:rsid w:val="00234399"/>
    <w:rsid w:val="00267341"/>
    <w:rsid w:val="002B1283"/>
    <w:rsid w:val="002D54E0"/>
    <w:rsid w:val="002D5DDF"/>
    <w:rsid w:val="002F7841"/>
    <w:rsid w:val="003655FE"/>
    <w:rsid w:val="00371199"/>
    <w:rsid w:val="00372802"/>
    <w:rsid w:val="003905AB"/>
    <w:rsid w:val="003F1F68"/>
    <w:rsid w:val="00402038"/>
    <w:rsid w:val="0044648F"/>
    <w:rsid w:val="00456CE5"/>
    <w:rsid w:val="00472A61"/>
    <w:rsid w:val="004C4D54"/>
    <w:rsid w:val="004D580D"/>
    <w:rsid w:val="00507502"/>
    <w:rsid w:val="00517112"/>
    <w:rsid w:val="00574F05"/>
    <w:rsid w:val="00586A03"/>
    <w:rsid w:val="00623E1F"/>
    <w:rsid w:val="00635B95"/>
    <w:rsid w:val="00643011"/>
    <w:rsid w:val="006661CB"/>
    <w:rsid w:val="00695498"/>
    <w:rsid w:val="006C5887"/>
    <w:rsid w:val="00700083"/>
    <w:rsid w:val="007E4DD8"/>
    <w:rsid w:val="008138D3"/>
    <w:rsid w:val="009E4E1D"/>
    <w:rsid w:val="009F2672"/>
    <w:rsid w:val="00A307CD"/>
    <w:rsid w:val="00A44FCF"/>
    <w:rsid w:val="00A67081"/>
    <w:rsid w:val="00AA2439"/>
    <w:rsid w:val="00B91BCC"/>
    <w:rsid w:val="00BB14EC"/>
    <w:rsid w:val="00BB740A"/>
    <w:rsid w:val="00BC2BA3"/>
    <w:rsid w:val="00BE4992"/>
    <w:rsid w:val="00CA76D5"/>
    <w:rsid w:val="00CC4D50"/>
    <w:rsid w:val="00D159E9"/>
    <w:rsid w:val="00D52200"/>
    <w:rsid w:val="00D91677"/>
    <w:rsid w:val="00DE5EDB"/>
    <w:rsid w:val="00E138CF"/>
    <w:rsid w:val="00E2192D"/>
    <w:rsid w:val="00E22B5B"/>
    <w:rsid w:val="00E4174F"/>
    <w:rsid w:val="00EB3B7D"/>
    <w:rsid w:val="00EC3C6B"/>
    <w:rsid w:val="00EC5496"/>
    <w:rsid w:val="00F0273C"/>
    <w:rsid w:val="00F4300A"/>
    <w:rsid w:val="00F521E4"/>
    <w:rsid w:val="00FC32DD"/>
    <w:rsid w:val="00FC54C7"/>
    <w:rsid w:val="00FD104C"/>
    <w:rsid w:val="00FE2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ncki.edu.pl_"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4617</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FATIX .</dc:creator>
  <cp:lastModifiedBy>Iczaplarska</cp:lastModifiedBy>
  <cp:revision>3</cp:revision>
  <dcterms:created xsi:type="dcterms:W3CDTF">2022-02-25T12:30:00Z</dcterms:created>
  <dcterms:modified xsi:type="dcterms:W3CDTF">2022-02-25T12:40:00Z</dcterms:modified>
</cp:coreProperties>
</file>